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2D" w:rsidRDefault="00A81BF2" w:rsidP="00C400B6">
      <w:commentRangeStart w:id="0"/>
      <w:commentRangeEnd w:id="0"/>
      <w:r w:rsidRPr="004A4B23">
        <w:rPr>
          <w:rStyle w:val="Refdecomentario"/>
        </w:rPr>
        <w:commentReference w:id="0"/>
      </w:r>
    </w:p>
    <w:p w:rsidR="00BA282D" w:rsidRDefault="008C2D72" w:rsidP="00BA282D">
      <w:pPr>
        <w:jc w:val="center"/>
        <w:rPr>
          <w:b/>
          <w:sz w:val="28"/>
        </w:rPr>
      </w:pPr>
      <w:r>
        <w:rPr>
          <w:b/>
          <w:sz w:val="28"/>
        </w:rPr>
        <w:t>GUÍA DE TRABAJO 7</w:t>
      </w:r>
      <w:r w:rsidR="00A96DB0">
        <w:rPr>
          <w:b/>
          <w:sz w:val="28"/>
        </w:rPr>
        <w:t>º BÁSICO Nº 1</w:t>
      </w:r>
    </w:p>
    <w:p w:rsidR="00BA282D" w:rsidRPr="00BA282D" w:rsidRDefault="00BA282D" w:rsidP="00BA282D">
      <w:pPr>
        <w:jc w:val="center"/>
        <w:rPr>
          <w:b/>
          <w:sz w:val="28"/>
        </w:rPr>
      </w:pPr>
    </w:p>
    <w:p w:rsidR="00C400B6" w:rsidRPr="004A4B23" w:rsidRDefault="00BA282D" w:rsidP="00C400B6">
      <w:r>
        <w:t>Nombre:</w:t>
      </w:r>
    </w:p>
    <w:p w:rsidR="00C400B6" w:rsidRPr="004A4B23" w:rsidRDefault="00A96DB0" w:rsidP="00C400B6">
      <w:r>
        <w:t>Fecha d</w:t>
      </w:r>
      <w:r w:rsidR="008C2D72">
        <w:t>e entrega: martes 31 de marzo</w:t>
      </w:r>
    </w:p>
    <w:p w:rsidR="00C400B6" w:rsidRDefault="00BA282D" w:rsidP="00BA282D">
      <w:pPr>
        <w:jc w:val="both"/>
      </w:pPr>
      <w:r>
        <w:rPr>
          <w:b/>
        </w:rPr>
        <w:t>OBJETIVO</w:t>
      </w:r>
      <w:r w:rsidR="00CA2FD6">
        <w:rPr>
          <w:b/>
        </w:rPr>
        <w:t xml:space="preserve"> GENERAL</w:t>
      </w:r>
      <w:r>
        <w:rPr>
          <w:b/>
        </w:rPr>
        <w:t>:</w:t>
      </w:r>
      <w:r w:rsidR="008C2D72">
        <w:t xml:space="preserve"> Reconocer las formas de sustitución léxicas más empleadas para la escritura de textos. </w:t>
      </w:r>
    </w:p>
    <w:p w:rsidR="00BA282D" w:rsidRPr="000E39D7" w:rsidRDefault="000E39D7" w:rsidP="00BA282D">
      <w:pPr>
        <w:jc w:val="both"/>
      </w:pPr>
      <w:r>
        <w:rPr>
          <w:b/>
        </w:rPr>
        <w:t>PUNTAJE TOTAL:</w:t>
      </w:r>
      <w:r w:rsidR="00351571">
        <w:t xml:space="preserve"> 25</w:t>
      </w:r>
      <w:r>
        <w:t xml:space="preserve"> PUNTOS</w:t>
      </w:r>
    </w:p>
    <w:p w:rsidR="00CA2FD6" w:rsidRDefault="008C2D72" w:rsidP="00CA2FD6">
      <w:pPr>
        <w:jc w:val="center"/>
        <w:rPr>
          <w:b/>
        </w:rPr>
      </w:pPr>
      <w:r>
        <w:rPr>
          <w:b/>
        </w:rPr>
        <w:t>SUSTITUCIÓN LÉXICA</w:t>
      </w:r>
    </w:p>
    <w:p w:rsidR="00A96DB0" w:rsidRDefault="008C2D72" w:rsidP="00CA2FD6">
      <w:pPr>
        <w:jc w:val="both"/>
      </w:pPr>
      <w:r>
        <w:t xml:space="preserve">La sustitución léxica es una técnica de escritura que permite utilizar una palabra diferente para reemplazar un término específico y evitar su continua repetición. O sea, la sustitución léxica sirve para enriquecer un texto ocupando diferentes palabras. </w:t>
      </w:r>
    </w:p>
    <w:p w:rsidR="008C2D72" w:rsidRDefault="008C2D72" w:rsidP="00CA2FD6">
      <w:pPr>
        <w:jc w:val="both"/>
      </w:pPr>
      <w:r>
        <w:t>Existen muchos tipos de sustitución léxica, pero básicamente son dos los más ocupados y que desde ahora revisaremos:</w:t>
      </w:r>
    </w:p>
    <w:p w:rsidR="008C2D72" w:rsidRDefault="008C2D72" w:rsidP="008C2D72">
      <w:pPr>
        <w:pStyle w:val="Prrafodelista"/>
        <w:numPr>
          <w:ilvl w:val="0"/>
          <w:numId w:val="27"/>
        </w:numPr>
        <w:jc w:val="both"/>
      </w:pPr>
      <w:r>
        <w:t>Sustitución por prononimia</w:t>
      </w:r>
    </w:p>
    <w:p w:rsidR="002471A8" w:rsidRDefault="008C2D72" w:rsidP="008C2D72">
      <w:pPr>
        <w:pStyle w:val="Prrafodelista"/>
        <w:numPr>
          <w:ilvl w:val="0"/>
          <w:numId w:val="27"/>
        </w:numPr>
        <w:jc w:val="both"/>
      </w:pPr>
      <w:r>
        <w:t xml:space="preserve">Sustitución por sinonimia </w:t>
      </w:r>
    </w:p>
    <w:p w:rsidR="008C2D72" w:rsidRDefault="002471A8" w:rsidP="002471A8">
      <w:pPr>
        <w:jc w:val="center"/>
        <w:rPr>
          <w:b/>
        </w:rPr>
      </w:pPr>
      <w:r>
        <w:rPr>
          <w:b/>
        </w:rPr>
        <w:t>SUSTITUCIÓN POR PRONONIMIA</w:t>
      </w:r>
    </w:p>
    <w:p w:rsidR="002471A8" w:rsidRDefault="002471A8" w:rsidP="002471A8">
      <w:pPr>
        <w:jc w:val="both"/>
      </w:pPr>
      <w:r>
        <w:t xml:space="preserve">La sustitución por prononimia es aquella que utiliza los pronombres para sustituir al sujeto de la oración, que recibe el nombre de </w:t>
      </w:r>
      <w:r>
        <w:rPr>
          <w:b/>
        </w:rPr>
        <w:t>referente</w:t>
      </w:r>
      <w:r>
        <w:t>. El pronombre escogido debe calzar en género y número con el referente, por ejemplo: “</w:t>
      </w:r>
      <w:r w:rsidRPr="002471A8">
        <w:rPr>
          <w:b/>
          <w:color w:val="FF0000"/>
        </w:rPr>
        <w:t>La princesa</w:t>
      </w:r>
      <w:r>
        <w:t xml:space="preserve"> vivía en un castillo. </w:t>
      </w:r>
      <w:r w:rsidRPr="002471A8">
        <w:rPr>
          <w:b/>
          <w:color w:val="002060"/>
        </w:rPr>
        <w:t>Ella</w:t>
      </w:r>
      <w:r>
        <w:t xml:space="preserve"> tenía una maldición”. En rojo puede leerse el referente y en azul la sustitución por prononimia. </w:t>
      </w:r>
    </w:p>
    <w:p w:rsidR="00A71209" w:rsidRDefault="00A71209" w:rsidP="002471A8">
      <w:pPr>
        <w:jc w:val="both"/>
      </w:pPr>
      <w:r>
        <w:t>A continuación, una lista de algunos pronombres, según cada tipo:</w:t>
      </w:r>
    </w:p>
    <w:tbl>
      <w:tblPr>
        <w:tblStyle w:val="Tablaconcuadrcula"/>
        <w:tblW w:w="9923" w:type="dxa"/>
        <w:tblInd w:w="-459" w:type="dxa"/>
        <w:tblLook w:val="04A0"/>
      </w:tblPr>
      <w:tblGrid>
        <w:gridCol w:w="2480"/>
        <w:gridCol w:w="2481"/>
        <w:gridCol w:w="2481"/>
        <w:gridCol w:w="2481"/>
      </w:tblGrid>
      <w:tr w:rsidR="00A71209" w:rsidTr="009E4F20">
        <w:tc>
          <w:tcPr>
            <w:tcW w:w="2480" w:type="dxa"/>
          </w:tcPr>
          <w:p w:rsidR="00A71209" w:rsidRDefault="00B16CAC" w:rsidP="00B16CAC">
            <w:pPr>
              <w:jc w:val="center"/>
            </w:pPr>
            <w:r>
              <w:t>Pronombre personal</w:t>
            </w:r>
          </w:p>
        </w:tc>
        <w:tc>
          <w:tcPr>
            <w:tcW w:w="2481" w:type="dxa"/>
          </w:tcPr>
          <w:p w:rsidR="00A71209" w:rsidRDefault="006C7F29" w:rsidP="006C7F29">
            <w:pPr>
              <w:jc w:val="center"/>
            </w:pPr>
            <w:r>
              <w:t>Pronombre posesivo</w:t>
            </w:r>
          </w:p>
        </w:tc>
        <w:tc>
          <w:tcPr>
            <w:tcW w:w="2481" w:type="dxa"/>
          </w:tcPr>
          <w:p w:rsidR="00A71209" w:rsidRDefault="006C7F29" w:rsidP="006C7F29">
            <w:pPr>
              <w:jc w:val="center"/>
            </w:pPr>
            <w:r>
              <w:t>Pronombre demostrativo</w:t>
            </w:r>
          </w:p>
        </w:tc>
        <w:tc>
          <w:tcPr>
            <w:tcW w:w="2481" w:type="dxa"/>
          </w:tcPr>
          <w:p w:rsidR="00A71209" w:rsidRDefault="006C7F29" w:rsidP="006C7F29">
            <w:pPr>
              <w:jc w:val="center"/>
            </w:pPr>
            <w:r>
              <w:t xml:space="preserve">Pronombre </w:t>
            </w:r>
            <w:r w:rsidR="009E4F20">
              <w:t>relativo</w:t>
            </w:r>
          </w:p>
        </w:tc>
      </w:tr>
      <w:tr w:rsidR="00A71209" w:rsidTr="009E4F20">
        <w:tc>
          <w:tcPr>
            <w:tcW w:w="2480" w:type="dxa"/>
          </w:tcPr>
          <w:p w:rsidR="00A71209" w:rsidRDefault="009E4F20" w:rsidP="002471A8">
            <w:pPr>
              <w:jc w:val="both"/>
            </w:pPr>
            <w:r>
              <w:t>Yo</w:t>
            </w:r>
          </w:p>
          <w:p w:rsidR="009E4F20" w:rsidRDefault="009E4F20" w:rsidP="002471A8">
            <w:pPr>
              <w:jc w:val="both"/>
            </w:pPr>
            <w:r>
              <w:t>Tú</w:t>
            </w:r>
          </w:p>
          <w:p w:rsidR="009E4F20" w:rsidRDefault="009E4F20" w:rsidP="002471A8">
            <w:pPr>
              <w:jc w:val="both"/>
            </w:pPr>
            <w:r>
              <w:t>Él/Ella</w:t>
            </w:r>
          </w:p>
          <w:p w:rsidR="009E4F20" w:rsidRDefault="009E4F20" w:rsidP="002471A8">
            <w:pPr>
              <w:jc w:val="both"/>
            </w:pPr>
            <w:r>
              <w:t>Nosotros</w:t>
            </w:r>
          </w:p>
          <w:p w:rsidR="009E4F20" w:rsidRDefault="009E4F20" w:rsidP="002471A8">
            <w:pPr>
              <w:jc w:val="both"/>
            </w:pPr>
            <w:r>
              <w:t>Vosotros/Ustedes</w:t>
            </w:r>
          </w:p>
          <w:p w:rsidR="009E4F20" w:rsidRDefault="009E4F20" w:rsidP="002471A8">
            <w:pPr>
              <w:jc w:val="both"/>
            </w:pPr>
            <w:r>
              <w:t>Ellos</w:t>
            </w:r>
          </w:p>
        </w:tc>
        <w:tc>
          <w:tcPr>
            <w:tcW w:w="2481" w:type="dxa"/>
          </w:tcPr>
          <w:p w:rsidR="00A71209" w:rsidRDefault="009E4F20" w:rsidP="002471A8">
            <w:pPr>
              <w:jc w:val="both"/>
            </w:pPr>
            <w:r>
              <w:t xml:space="preserve">Mío, mi(s) </w:t>
            </w:r>
          </w:p>
          <w:p w:rsidR="009E4F20" w:rsidRDefault="009E4F20" w:rsidP="002471A8">
            <w:pPr>
              <w:jc w:val="both"/>
            </w:pPr>
            <w:r>
              <w:t xml:space="preserve">Tu(s), tuya(s), tuyo(s) </w:t>
            </w:r>
          </w:p>
          <w:p w:rsidR="009E4F20" w:rsidRDefault="009E4F20" w:rsidP="002471A8">
            <w:pPr>
              <w:jc w:val="both"/>
            </w:pPr>
            <w:r>
              <w:t xml:space="preserve">Su(s), suya(s), suyo(s) </w:t>
            </w:r>
          </w:p>
          <w:p w:rsidR="009E4F20" w:rsidRDefault="009E4F20" w:rsidP="002471A8">
            <w:pPr>
              <w:jc w:val="both"/>
            </w:pPr>
            <w:r>
              <w:t>Nuestro(s), nuestra(s)</w:t>
            </w:r>
          </w:p>
          <w:p w:rsidR="009E4F20" w:rsidRDefault="009E4F20" w:rsidP="002471A8">
            <w:pPr>
              <w:jc w:val="both"/>
            </w:pPr>
            <w:r>
              <w:t>Tu, su, vuestro, vuestra</w:t>
            </w:r>
          </w:p>
          <w:p w:rsidR="009E4F20" w:rsidRDefault="009E4F20" w:rsidP="002471A8">
            <w:pPr>
              <w:jc w:val="both"/>
            </w:pPr>
            <w:r>
              <w:t xml:space="preserve">Su(s), suya(s), suyo(s) </w:t>
            </w:r>
          </w:p>
        </w:tc>
        <w:tc>
          <w:tcPr>
            <w:tcW w:w="2481" w:type="dxa"/>
          </w:tcPr>
          <w:p w:rsidR="00A71209" w:rsidRDefault="009E4F20" w:rsidP="002471A8">
            <w:pPr>
              <w:jc w:val="both"/>
            </w:pPr>
            <w:r>
              <w:t>Ese(os), esa(s)</w:t>
            </w:r>
          </w:p>
          <w:p w:rsidR="009E4F20" w:rsidRDefault="009E4F20" w:rsidP="002471A8">
            <w:pPr>
              <w:jc w:val="both"/>
            </w:pPr>
            <w:r>
              <w:t>Aquel(los), aquella(s)</w:t>
            </w:r>
          </w:p>
          <w:p w:rsidR="009E4F20" w:rsidRDefault="009E4F20" w:rsidP="002471A8">
            <w:pPr>
              <w:jc w:val="both"/>
            </w:pPr>
            <w:r>
              <w:t>Este(os), esta(s)</w:t>
            </w:r>
          </w:p>
        </w:tc>
        <w:tc>
          <w:tcPr>
            <w:tcW w:w="2481" w:type="dxa"/>
          </w:tcPr>
          <w:p w:rsidR="00A71209" w:rsidRDefault="009E4F20" w:rsidP="002471A8">
            <w:pPr>
              <w:jc w:val="both"/>
            </w:pPr>
            <w:r>
              <w:t xml:space="preserve">Que, quien </w:t>
            </w:r>
          </w:p>
          <w:p w:rsidR="009E4F20" w:rsidRDefault="009E4F20" w:rsidP="002471A8">
            <w:pPr>
              <w:jc w:val="both"/>
            </w:pPr>
            <w:r>
              <w:t xml:space="preserve">El </w:t>
            </w:r>
            <w:r w:rsidR="007336C0">
              <w:t xml:space="preserve">cual, la cual, los cuales, las cuales </w:t>
            </w:r>
          </w:p>
          <w:p w:rsidR="009E4F20" w:rsidRDefault="009E4F20" w:rsidP="002471A8">
            <w:pPr>
              <w:jc w:val="both"/>
            </w:pPr>
            <w:r>
              <w:t>Los que, las que, el que, la que</w:t>
            </w:r>
          </w:p>
          <w:p w:rsidR="009E4F20" w:rsidRDefault="009E4F20" w:rsidP="002471A8">
            <w:pPr>
              <w:jc w:val="both"/>
            </w:pPr>
          </w:p>
        </w:tc>
      </w:tr>
    </w:tbl>
    <w:p w:rsidR="00A71209" w:rsidRPr="002471A8" w:rsidRDefault="00A71209" w:rsidP="002471A8">
      <w:pPr>
        <w:jc w:val="both"/>
      </w:pPr>
    </w:p>
    <w:p w:rsidR="00A96DB0" w:rsidRDefault="007336C0" w:rsidP="007336C0">
      <w:pPr>
        <w:jc w:val="center"/>
        <w:rPr>
          <w:b/>
        </w:rPr>
      </w:pPr>
      <w:r>
        <w:rPr>
          <w:b/>
        </w:rPr>
        <w:t>ACTIVIDAD</w:t>
      </w:r>
      <w:r w:rsidR="00660CBB">
        <w:rPr>
          <w:b/>
        </w:rPr>
        <w:t xml:space="preserve"> 1</w:t>
      </w:r>
      <w:r w:rsidR="00351571">
        <w:rPr>
          <w:b/>
        </w:rPr>
        <w:t xml:space="preserve"> (10 PUNTOS)</w:t>
      </w:r>
    </w:p>
    <w:p w:rsidR="007336C0" w:rsidRDefault="007336C0" w:rsidP="007336C0">
      <w:pPr>
        <w:jc w:val="both"/>
      </w:pPr>
      <w:r>
        <w:t>Escribe 5 oraciones en las que ocupes la sustitución por prononimia, utilizando la siguiente estructura: sujeto referente + predicado. Sustitución + predicado. Aquí el mismo ejemplo: “</w:t>
      </w:r>
      <w:r w:rsidRPr="002471A8">
        <w:rPr>
          <w:b/>
          <w:color w:val="FF0000"/>
        </w:rPr>
        <w:t>La princesa</w:t>
      </w:r>
      <w:r>
        <w:t xml:space="preserve"> vivía en un castillo. </w:t>
      </w:r>
      <w:r w:rsidRPr="002471A8">
        <w:rPr>
          <w:b/>
          <w:color w:val="002060"/>
        </w:rPr>
        <w:t>Ella</w:t>
      </w:r>
      <w:r>
        <w:t xml:space="preserve"> tenía una maldición”.</w:t>
      </w:r>
    </w:p>
    <w:p w:rsidR="007336C0" w:rsidRDefault="007336C0" w:rsidP="007336C0">
      <w:pPr>
        <w:jc w:val="both"/>
      </w:pPr>
      <w:r>
        <w:t>1.-</w:t>
      </w:r>
    </w:p>
    <w:p w:rsidR="007336C0" w:rsidRDefault="007336C0" w:rsidP="007336C0">
      <w:pPr>
        <w:jc w:val="both"/>
      </w:pPr>
      <w:r>
        <w:t>2.-</w:t>
      </w:r>
    </w:p>
    <w:p w:rsidR="007336C0" w:rsidRDefault="007336C0" w:rsidP="007336C0">
      <w:pPr>
        <w:jc w:val="both"/>
      </w:pPr>
      <w:r>
        <w:t>3.-</w:t>
      </w:r>
    </w:p>
    <w:p w:rsidR="007336C0" w:rsidRDefault="007336C0" w:rsidP="007336C0">
      <w:pPr>
        <w:jc w:val="both"/>
      </w:pPr>
      <w:r>
        <w:t>4.-</w:t>
      </w:r>
    </w:p>
    <w:p w:rsidR="007336C0" w:rsidRDefault="007336C0" w:rsidP="00447308">
      <w:pPr>
        <w:jc w:val="both"/>
      </w:pPr>
      <w:r>
        <w:t>5.-</w:t>
      </w:r>
    </w:p>
    <w:p w:rsidR="007336C0" w:rsidRDefault="007336C0" w:rsidP="007336C0">
      <w:pPr>
        <w:jc w:val="center"/>
        <w:rPr>
          <w:b/>
        </w:rPr>
      </w:pPr>
      <w:r>
        <w:rPr>
          <w:b/>
        </w:rPr>
        <w:t>SUSTITUCIÓN POR SINONIMIA</w:t>
      </w:r>
    </w:p>
    <w:p w:rsidR="007336C0" w:rsidRDefault="007336C0" w:rsidP="007336C0">
      <w:pPr>
        <w:jc w:val="both"/>
      </w:pPr>
      <w:r>
        <w:t xml:space="preserve">La sustitución por sinonimia es aquella que utiliza los sinónimos para sustituir al sujeto de la oración. </w:t>
      </w:r>
      <w:r w:rsidR="00582DA5">
        <w:t xml:space="preserve">Los sinónimos son palabras que tienen un significado similar. Esta técnica tiene tres formas diferentes de usarse: sinónimos cercanos, hiperonimia e hiponimia. </w:t>
      </w:r>
    </w:p>
    <w:p w:rsidR="00582DA5" w:rsidRDefault="00582DA5" w:rsidP="00582DA5">
      <w:pPr>
        <w:jc w:val="center"/>
        <w:rPr>
          <w:b/>
        </w:rPr>
      </w:pPr>
      <w:r>
        <w:rPr>
          <w:b/>
        </w:rPr>
        <w:lastRenderedPageBreak/>
        <w:t>SINÓNIMOS CERCANOS</w:t>
      </w:r>
    </w:p>
    <w:p w:rsidR="00582DA5" w:rsidRDefault="00582DA5" w:rsidP="00582DA5">
      <w:pPr>
        <w:jc w:val="both"/>
      </w:pPr>
      <w:r>
        <w:t>Palabras que pertenecen a una misma familia de significados. Por ejemplo: mesa, mesón, comedor, tabla, entre otras.</w:t>
      </w:r>
    </w:p>
    <w:p w:rsidR="00582DA5" w:rsidRDefault="00582DA5" w:rsidP="00582DA5">
      <w:pPr>
        <w:jc w:val="center"/>
        <w:rPr>
          <w:b/>
        </w:rPr>
      </w:pPr>
      <w:r>
        <w:rPr>
          <w:b/>
        </w:rPr>
        <w:t>HIPERONIMIA</w:t>
      </w:r>
    </w:p>
    <w:p w:rsidR="00582DA5" w:rsidRDefault="00582DA5" w:rsidP="00582DA5">
      <w:pPr>
        <w:jc w:val="both"/>
      </w:pPr>
      <w:r>
        <w:t xml:space="preserve">Los hiperónimos son palabras que agrupan a grupos de palabras debido a que tienen un significado mayor. Por ejemplo: mamífero es el hiperónimo de perro, y perro es el hiperónimo de labrador; y animal es el hiperónimo de mamífero. </w:t>
      </w:r>
    </w:p>
    <w:p w:rsidR="00582DA5" w:rsidRDefault="00582DA5" w:rsidP="00582DA5">
      <w:pPr>
        <w:jc w:val="center"/>
        <w:rPr>
          <w:b/>
        </w:rPr>
      </w:pPr>
      <w:r>
        <w:rPr>
          <w:b/>
        </w:rPr>
        <w:t>HIPONIMIA</w:t>
      </w:r>
    </w:p>
    <w:p w:rsidR="00582DA5" w:rsidRDefault="00582DA5" w:rsidP="00582DA5">
      <w:pPr>
        <w:jc w:val="both"/>
      </w:pPr>
      <w:r>
        <w:t>Los hipónimos son palabras que especifican el significado de otra más amplia. Por ejemplo, perro es hipónimo de mamífero, y mamífero es hipónimo de animal.</w:t>
      </w:r>
    </w:p>
    <w:p w:rsidR="00582DA5" w:rsidRDefault="00582DA5" w:rsidP="00582DA5">
      <w:pPr>
        <w:jc w:val="center"/>
        <w:rPr>
          <w:b/>
        </w:rPr>
      </w:pPr>
      <w:r>
        <w:rPr>
          <w:b/>
        </w:rPr>
        <w:t>¿CÓMO PUEDE UTILIZARSE LA SINONIMIA EN LA SUSTITUCIÓN?</w:t>
      </w:r>
    </w:p>
    <w:p w:rsidR="00582DA5" w:rsidRDefault="00582DA5" w:rsidP="00582DA5">
      <w:pPr>
        <w:jc w:val="both"/>
      </w:pPr>
      <w:r>
        <w:t>Imaginemos que e</w:t>
      </w:r>
      <w:r w:rsidR="004146DB">
        <w:t xml:space="preserve">stamos escribiendo una noticia de futbol: “El famoso </w:t>
      </w:r>
      <w:r w:rsidR="004146DB" w:rsidRPr="004146DB">
        <w:rPr>
          <w:b/>
          <w:color w:val="FF0000"/>
        </w:rPr>
        <w:t>futbolista</w:t>
      </w:r>
      <w:r w:rsidR="004146DB">
        <w:t xml:space="preserve"> Alexis Sánchez sigue sin jugar, ya que después de su traspaso al Inter del Milán, el </w:t>
      </w:r>
      <w:r w:rsidR="004146DB" w:rsidRPr="004146DB">
        <w:rPr>
          <w:b/>
          <w:color w:val="008000"/>
        </w:rPr>
        <w:t>jugador</w:t>
      </w:r>
      <w:r w:rsidR="004146DB">
        <w:t xml:space="preserve"> se ha topado con el COVID-19, que ha dejado una gran devastación en Italia. ¿Será que el </w:t>
      </w:r>
      <w:r w:rsidR="004146DB" w:rsidRPr="004146DB">
        <w:rPr>
          <w:b/>
          <w:color w:val="0070C0"/>
        </w:rPr>
        <w:t>delantero</w:t>
      </w:r>
      <w:r w:rsidR="004146DB">
        <w:t xml:space="preserve"> podrá mantener su mejor nivel cuando se retomen las clasificatorias a Qatar?”. </w:t>
      </w:r>
    </w:p>
    <w:p w:rsidR="004146DB" w:rsidRDefault="004146DB" w:rsidP="00582DA5">
      <w:pPr>
        <w:jc w:val="both"/>
      </w:pPr>
      <w:r>
        <w:t xml:space="preserve">En </w:t>
      </w:r>
      <w:r w:rsidRPr="004146DB">
        <w:rPr>
          <w:b/>
          <w:color w:val="FF0000"/>
        </w:rPr>
        <w:t>rojo</w:t>
      </w:r>
      <w:r>
        <w:t xml:space="preserve"> podemos el sujeto o referente de la oración y del texto. En </w:t>
      </w:r>
      <w:r w:rsidRPr="004146DB">
        <w:rPr>
          <w:b/>
          <w:color w:val="008000"/>
        </w:rPr>
        <w:t xml:space="preserve">verde </w:t>
      </w:r>
      <w:r>
        <w:t xml:space="preserve">podemos ver la sustitución por un hiperónimo. En </w:t>
      </w:r>
      <w:r w:rsidRPr="004146DB">
        <w:rPr>
          <w:b/>
          <w:color w:val="0070C0"/>
        </w:rPr>
        <w:t xml:space="preserve">azul </w:t>
      </w:r>
      <w:r>
        <w:t xml:space="preserve">podemos ver la sustitución por un hipónimo. </w:t>
      </w:r>
    </w:p>
    <w:p w:rsidR="004146DB" w:rsidRDefault="004146DB" w:rsidP="004146DB">
      <w:pPr>
        <w:jc w:val="center"/>
        <w:rPr>
          <w:b/>
        </w:rPr>
      </w:pPr>
      <w:r>
        <w:rPr>
          <w:b/>
        </w:rPr>
        <w:t>ACTIVIDAD</w:t>
      </w:r>
      <w:r w:rsidR="00660CBB">
        <w:rPr>
          <w:b/>
        </w:rPr>
        <w:t xml:space="preserve"> 2</w:t>
      </w:r>
      <w:r w:rsidR="00351571">
        <w:rPr>
          <w:b/>
        </w:rPr>
        <w:t xml:space="preserve"> (10 PUNTOS)</w:t>
      </w:r>
    </w:p>
    <w:p w:rsidR="004146DB" w:rsidRDefault="004146DB" w:rsidP="004146DB">
      <w:pPr>
        <w:jc w:val="both"/>
      </w:pPr>
      <w:r>
        <w:t>Completa el siguiente cuadro con hiperónimos e hipónimos para cada palabra.</w:t>
      </w:r>
    </w:p>
    <w:tbl>
      <w:tblPr>
        <w:tblStyle w:val="Tablaconcuadrcula"/>
        <w:tblW w:w="0" w:type="auto"/>
        <w:tblLook w:val="04A0"/>
      </w:tblPr>
      <w:tblGrid>
        <w:gridCol w:w="2993"/>
        <w:gridCol w:w="2993"/>
        <w:gridCol w:w="2994"/>
      </w:tblGrid>
      <w:tr w:rsidR="004146DB" w:rsidTr="004146DB">
        <w:tc>
          <w:tcPr>
            <w:tcW w:w="2993" w:type="dxa"/>
          </w:tcPr>
          <w:p w:rsidR="004146DB" w:rsidRDefault="004146DB" w:rsidP="004146DB">
            <w:pPr>
              <w:jc w:val="center"/>
            </w:pPr>
            <w:r>
              <w:t>Hipónimo</w:t>
            </w:r>
          </w:p>
        </w:tc>
        <w:tc>
          <w:tcPr>
            <w:tcW w:w="2993" w:type="dxa"/>
          </w:tcPr>
          <w:p w:rsidR="004146DB" w:rsidRDefault="004146DB" w:rsidP="004146DB">
            <w:pPr>
              <w:jc w:val="center"/>
            </w:pPr>
            <w:r>
              <w:t>Palabra Referente</w:t>
            </w:r>
          </w:p>
        </w:tc>
        <w:tc>
          <w:tcPr>
            <w:tcW w:w="2994" w:type="dxa"/>
          </w:tcPr>
          <w:p w:rsidR="004146DB" w:rsidRDefault="004146DB" w:rsidP="004146DB">
            <w:pPr>
              <w:jc w:val="center"/>
            </w:pPr>
            <w:r>
              <w:t>Hiperónimo</w:t>
            </w:r>
          </w:p>
        </w:tc>
      </w:tr>
      <w:tr w:rsidR="004146DB" w:rsidTr="004146DB">
        <w:tc>
          <w:tcPr>
            <w:tcW w:w="2993" w:type="dxa"/>
          </w:tcPr>
          <w:p w:rsidR="004146DB" w:rsidRDefault="004146DB" w:rsidP="004146DB">
            <w:pPr>
              <w:jc w:val="both"/>
            </w:pPr>
          </w:p>
        </w:tc>
        <w:tc>
          <w:tcPr>
            <w:tcW w:w="2993" w:type="dxa"/>
          </w:tcPr>
          <w:p w:rsidR="004146DB" w:rsidRDefault="004146DB" w:rsidP="004146DB">
            <w:pPr>
              <w:jc w:val="both"/>
            </w:pPr>
            <w:r>
              <w:t>Perro</w:t>
            </w:r>
          </w:p>
        </w:tc>
        <w:tc>
          <w:tcPr>
            <w:tcW w:w="2994" w:type="dxa"/>
          </w:tcPr>
          <w:p w:rsidR="004146DB" w:rsidRDefault="004146DB" w:rsidP="004146DB">
            <w:pPr>
              <w:jc w:val="both"/>
            </w:pPr>
          </w:p>
        </w:tc>
      </w:tr>
      <w:tr w:rsidR="004146DB" w:rsidTr="004146DB">
        <w:tc>
          <w:tcPr>
            <w:tcW w:w="2993" w:type="dxa"/>
          </w:tcPr>
          <w:p w:rsidR="004146DB" w:rsidRDefault="004146DB" w:rsidP="004146DB">
            <w:pPr>
              <w:jc w:val="both"/>
            </w:pPr>
          </w:p>
        </w:tc>
        <w:tc>
          <w:tcPr>
            <w:tcW w:w="2993" w:type="dxa"/>
          </w:tcPr>
          <w:p w:rsidR="004146DB" w:rsidRDefault="00660CBB" w:rsidP="004146DB">
            <w:pPr>
              <w:jc w:val="both"/>
            </w:pPr>
            <w:r>
              <w:t>Novela</w:t>
            </w:r>
          </w:p>
        </w:tc>
        <w:tc>
          <w:tcPr>
            <w:tcW w:w="2994" w:type="dxa"/>
          </w:tcPr>
          <w:p w:rsidR="004146DB" w:rsidRDefault="004146DB" w:rsidP="004146DB">
            <w:pPr>
              <w:jc w:val="both"/>
            </w:pPr>
          </w:p>
        </w:tc>
      </w:tr>
      <w:tr w:rsidR="004146DB" w:rsidTr="004146DB">
        <w:tc>
          <w:tcPr>
            <w:tcW w:w="2993" w:type="dxa"/>
          </w:tcPr>
          <w:p w:rsidR="004146DB" w:rsidRDefault="004146DB" w:rsidP="004146DB">
            <w:pPr>
              <w:jc w:val="both"/>
            </w:pPr>
          </w:p>
        </w:tc>
        <w:tc>
          <w:tcPr>
            <w:tcW w:w="2993" w:type="dxa"/>
          </w:tcPr>
          <w:p w:rsidR="004146DB" w:rsidRDefault="00660CBB" w:rsidP="004146DB">
            <w:pPr>
              <w:jc w:val="both"/>
            </w:pPr>
            <w:r>
              <w:t xml:space="preserve">Comida </w:t>
            </w:r>
          </w:p>
        </w:tc>
        <w:tc>
          <w:tcPr>
            <w:tcW w:w="2994" w:type="dxa"/>
          </w:tcPr>
          <w:p w:rsidR="004146DB" w:rsidRDefault="004146DB" w:rsidP="004146DB">
            <w:pPr>
              <w:jc w:val="both"/>
            </w:pPr>
          </w:p>
        </w:tc>
      </w:tr>
      <w:tr w:rsidR="004146DB" w:rsidTr="004146DB">
        <w:tc>
          <w:tcPr>
            <w:tcW w:w="2993" w:type="dxa"/>
          </w:tcPr>
          <w:p w:rsidR="004146DB" w:rsidRDefault="004146DB" w:rsidP="004146DB">
            <w:pPr>
              <w:jc w:val="both"/>
            </w:pPr>
          </w:p>
        </w:tc>
        <w:tc>
          <w:tcPr>
            <w:tcW w:w="2993" w:type="dxa"/>
          </w:tcPr>
          <w:p w:rsidR="004146DB" w:rsidRDefault="00660CBB" w:rsidP="004146DB">
            <w:pPr>
              <w:jc w:val="both"/>
            </w:pPr>
            <w:r>
              <w:t>Casa</w:t>
            </w:r>
          </w:p>
        </w:tc>
        <w:tc>
          <w:tcPr>
            <w:tcW w:w="2994" w:type="dxa"/>
          </w:tcPr>
          <w:p w:rsidR="004146DB" w:rsidRDefault="004146DB" w:rsidP="004146DB">
            <w:pPr>
              <w:jc w:val="both"/>
            </w:pPr>
          </w:p>
        </w:tc>
      </w:tr>
      <w:tr w:rsidR="004146DB" w:rsidTr="004146DB">
        <w:tc>
          <w:tcPr>
            <w:tcW w:w="2993" w:type="dxa"/>
          </w:tcPr>
          <w:p w:rsidR="004146DB" w:rsidRDefault="004146DB" w:rsidP="004146DB">
            <w:pPr>
              <w:jc w:val="both"/>
            </w:pPr>
          </w:p>
        </w:tc>
        <w:tc>
          <w:tcPr>
            <w:tcW w:w="2993" w:type="dxa"/>
          </w:tcPr>
          <w:p w:rsidR="004146DB" w:rsidRDefault="00660CBB" w:rsidP="004146DB">
            <w:pPr>
              <w:jc w:val="both"/>
            </w:pPr>
            <w:r>
              <w:t xml:space="preserve">Fruta </w:t>
            </w:r>
          </w:p>
        </w:tc>
        <w:tc>
          <w:tcPr>
            <w:tcW w:w="2994" w:type="dxa"/>
          </w:tcPr>
          <w:p w:rsidR="004146DB" w:rsidRDefault="004146DB" w:rsidP="004146DB">
            <w:pPr>
              <w:jc w:val="both"/>
            </w:pPr>
          </w:p>
        </w:tc>
      </w:tr>
    </w:tbl>
    <w:p w:rsidR="004146DB" w:rsidRPr="004146DB" w:rsidRDefault="004146DB" w:rsidP="004146DB">
      <w:pPr>
        <w:jc w:val="both"/>
      </w:pPr>
    </w:p>
    <w:p w:rsidR="00252DC9" w:rsidRDefault="00660CBB" w:rsidP="00660CBB">
      <w:pPr>
        <w:jc w:val="center"/>
        <w:rPr>
          <w:b/>
        </w:rPr>
      </w:pPr>
      <w:r>
        <w:rPr>
          <w:b/>
        </w:rPr>
        <w:t>ACTIVIDAD 3</w:t>
      </w:r>
      <w:r w:rsidR="00351571">
        <w:rPr>
          <w:b/>
        </w:rPr>
        <w:t xml:space="preserve"> (5 PUNTOS)</w:t>
      </w:r>
    </w:p>
    <w:p w:rsidR="00660CBB" w:rsidRDefault="00660CBB" w:rsidP="00660CBB">
      <w:pPr>
        <w:jc w:val="both"/>
      </w:pPr>
      <w:r>
        <w:t xml:space="preserve">Lee el siguiente texto y destaca las sustituciones léxicas presentes en él.  </w:t>
      </w:r>
    </w:p>
    <w:tbl>
      <w:tblPr>
        <w:tblStyle w:val="Tablaconcuadrcula"/>
        <w:tblW w:w="0" w:type="auto"/>
        <w:tblLook w:val="04A0"/>
      </w:tblPr>
      <w:tblGrid>
        <w:gridCol w:w="8980"/>
      </w:tblGrid>
      <w:tr w:rsidR="00660CBB" w:rsidTr="00660CBB">
        <w:tc>
          <w:tcPr>
            <w:tcW w:w="8980" w:type="dxa"/>
          </w:tcPr>
          <w:p w:rsidR="00660CBB" w:rsidRDefault="00660CBB" w:rsidP="00660CBB">
            <w:pPr>
              <w:jc w:val="center"/>
              <w:rPr>
                <w:b/>
              </w:rPr>
            </w:pPr>
            <w:r>
              <w:rPr>
                <w:b/>
              </w:rPr>
              <w:t>Una italiana es detenida en Chile por hacer un dibujo en las Torres del Paine</w:t>
            </w:r>
          </w:p>
          <w:p w:rsidR="00660CBB" w:rsidRDefault="00660CBB" w:rsidP="00660CBB">
            <w:pPr>
              <w:jc w:val="center"/>
              <w:rPr>
                <w:b/>
              </w:rPr>
            </w:pPr>
            <w:r>
              <w:rPr>
                <w:b/>
              </w:rPr>
              <w:t>(The Clinic, 18 de enero de 2020)</w:t>
            </w:r>
          </w:p>
          <w:p w:rsidR="00660CBB" w:rsidRDefault="00660CBB" w:rsidP="00660CBB">
            <w:pPr>
              <w:jc w:val="center"/>
              <w:rPr>
                <w:b/>
              </w:rPr>
            </w:pPr>
          </w:p>
          <w:p w:rsidR="00660CBB" w:rsidRPr="00660CBB" w:rsidRDefault="00660CBB" w:rsidP="00660CBB">
            <w:pPr>
              <w:pStyle w:val="NormalWeb"/>
              <w:shd w:val="clear" w:color="auto" w:fill="FFFFFF"/>
              <w:jc w:val="both"/>
              <w:rPr>
                <w:rFonts w:asciiTheme="minorHAnsi" w:hAnsiTheme="minorHAnsi" w:cstheme="minorHAnsi"/>
                <w:sz w:val="22"/>
                <w:szCs w:val="22"/>
              </w:rPr>
            </w:pPr>
            <w:r w:rsidRPr="00660CBB">
              <w:rPr>
                <w:rFonts w:asciiTheme="minorHAnsi" w:hAnsiTheme="minorHAnsi" w:cstheme="minorHAnsi"/>
                <w:sz w:val="22"/>
                <w:szCs w:val="22"/>
              </w:rPr>
              <w:t>Una turista italiana fue detenida por hacer un dibujo en una piedra del Parque Nacional Torres del Paine, una de las áreas más importantes del país austral ubicada en la Patagonia y conocida por sus espectaculares paisajes, informaron las autoridades chilenas la madrugada del sábado.</w:t>
            </w:r>
          </w:p>
          <w:p w:rsidR="00660CBB" w:rsidRPr="00660CBB" w:rsidRDefault="00660CBB" w:rsidP="00660CBB">
            <w:pPr>
              <w:pStyle w:val="NormalWeb"/>
              <w:shd w:val="clear" w:color="auto" w:fill="FFFFFF"/>
              <w:jc w:val="both"/>
              <w:rPr>
                <w:rFonts w:asciiTheme="minorHAnsi" w:hAnsiTheme="minorHAnsi" w:cstheme="minorHAnsi"/>
                <w:sz w:val="22"/>
                <w:szCs w:val="22"/>
              </w:rPr>
            </w:pPr>
            <w:r w:rsidRPr="00660CBB">
              <w:rPr>
                <w:rFonts w:asciiTheme="minorHAnsi" w:hAnsiTheme="minorHAnsi" w:cstheme="minorHAnsi"/>
                <w:sz w:val="22"/>
                <w:szCs w:val="22"/>
              </w:rPr>
              <w:t>“Se ubicó en una hostal céntrico de la ciudad (Puerto Natales) a una ciudadana extranjera de nacionalidad italiana, mayor de edad, quien en conocimiento de los antecedentes que abordaban la investigación reconoció su participación en los delitos”, explicó el jefe de la Brigada de Investigación Criminal (Bicrim) de la Policía de Investigaciones (PDI) de Puerto Natales, José Soto.</w:t>
            </w:r>
          </w:p>
          <w:p w:rsidR="00660CBB" w:rsidRPr="00660CBB" w:rsidRDefault="00660CBB" w:rsidP="00660CBB">
            <w:pPr>
              <w:pStyle w:val="NormalWeb"/>
              <w:shd w:val="clear" w:color="auto" w:fill="FFFFFF"/>
              <w:jc w:val="both"/>
              <w:rPr>
                <w:rFonts w:asciiTheme="minorHAnsi" w:hAnsiTheme="minorHAnsi" w:cstheme="minorHAnsi"/>
                <w:sz w:val="22"/>
                <w:szCs w:val="22"/>
              </w:rPr>
            </w:pPr>
            <w:r w:rsidRPr="00660CBB">
              <w:rPr>
                <w:rFonts w:asciiTheme="minorHAnsi" w:hAnsiTheme="minorHAnsi" w:cstheme="minorHAnsi"/>
                <w:sz w:val="22"/>
                <w:szCs w:val="22"/>
              </w:rPr>
              <w:t>La detención se produjo días después de que la italiana, que este sábado pasará a control policial, pidiese perdón en las redes sociales por haber hecho un dibujo de una mujer con pelo verde abrazando simbólicamente las Torres del Paine, tres macizos de granito de unos 2600 metros de altura y modelados por la fuerza del hielo glacial.</w:t>
            </w:r>
          </w:p>
          <w:p w:rsidR="00660CBB" w:rsidRPr="00660CBB" w:rsidRDefault="00660CBB" w:rsidP="00660CBB">
            <w:pPr>
              <w:pStyle w:val="NormalWeb"/>
              <w:shd w:val="clear" w:color="auto" w:fill="FFFFFF"/>
              <w:jc w:val="both"/>
              <w:rPr>
                <w:rFonts w:asciiTheme="minorHAnsi" w:hAnsiTheme="minorHAnsi" w:cstheme="minorHAnsi"/>
                <w:sz w:val="22"/>
                <w:szCs w:val="22"/>
              </w:rPr>
            </w:pPr>
            <w:r w:rsidRPr="00660CBB">
              <w:rPr>
                <w:rFonts w:asciiTheme="minorHAnsi" w:hAnsiTheme="minorHAnsi" w:cstheme="minorHAnsi"/>
                <w:sz w:val="22"/>
                <w:szCs w:val="22"/>
              </w:rPr>
              <w:t>Ubicados en la región de Magallanes, en el sur del país, fueron escogidas por National Geographic como el quinto lugar más hermoso del mundo.</w:t>
            </w:r>
          </w:p>
          <w:p w:rsidR="00660CBB" w:rsidRPr="00660CBB" w:rsidRDefault="00660CBB" w:rsidP="00660CBB">
            <w:pPr>
              <w:pStyle w:val="NormalWeb"/>
              <w:shd w:val="clear" w:color="auto" w:fill="FFFFFF"/>
              <w:jc w:val="both"/>
              <w:rPr>
                <w:rFonts w:asciiTheme="minorHAnsi" w:hAnsiTheme="minorHAnsi" w:cstheme="minorHAnsi"/>
                <w:sz w:val="22"/>
                <w:szCs w:val="22"/>
              </w:rPr>
            </w:pPr>
            <w:r w:rsidRPr="00660CBB">
              <w:rPr>
                <w:rFonts w:asciiTheme="minorHAnsi" w:hAnsiTheme="minorHAnsi" w:cstheme="minorHAnsi"/>
                <w:sz w:val="22"/>
                <w:szCs w:val="22"/>
              </w:rPr>
              <w:t xml:space="preserve">“Me disculpo oficialmente con todo Chile por el horrendo gesto hecho en el parque. No hace falta </w:t>
            </w:r>
            <w:r w:rsidRPr="00660CBB">
              <w:rPr>
                <w:rFonts w:asciiTheme="minorHAnsi" w:hAnsiTheme="minorHAnsi" w:cstheme="minorHAnsi"/>
                <w:sz w:val="22"/>
                <w:szCs w:val="22"/>
              </w:rPr>
              <w:lastRenderedPageBreak/>
              <w:t>decir que no se hizo con malas intenciones, sino como un estúpido, realmente estúpido, dibujo votivo en la montaña. Pido disculpas sinceramente”, dijo Elissa Tessuti en su cuenta de Instagram.</w:t>
            </w:r>
          </w:p>
          <w:p w:rsidR="00660CBB" w:rsidRPr="00660CBB" w:rsidRDefault="00660CBB" w:rsidP="00660CBB">
            <w:pPr>
              <w:pStyle w:val="NormalWeb"/>
              <w:shd w:val="clear" w:color="auto" w:fill="FFFFFF"/>
              <w:jc w:val="both"/>
              <w:rPr>
                <w:rFonts w:asciiTheme="minorHAnsi" w:hAnsiTheme="minorHAnsi" w:cstheme="minorHAnsi"/>
                <w:sz w:val="22"/>
                <w:szCs w:val="22"/>
              </w:rPr>
            </w:pPr>
            <w:r w:rsidRPr="00660CBB">
              <w:rPr>
                <w:rFonts w:asciiTheme="minorHAnsi" w:hAnsiTheme="minorHAnsi" w:cstheme="minorHAnsi"/>
                <w:sz w:val="22"/>
                <w:szCs w:val="22"/>
              </w:rPr>
              <w:t>La Corporación Nacional Forestal (Conaf) anunció el viernes una denuncia contra la turista por incurrir en daños en el parque, pese a que el dibujo se hizo con pintura lavable y fue removido de la piedra, y aseguró que los espacios protegidos “no necesitan tu arte, necesitan tu respeto, cuidado y protección”.</w:t>
            </w:r>
          </w:p>
          <w:p w:rsidR="00660CBB" w:rsidRPr="00660CBB" w:rsidRDefault="00660CBB" w:rsidP="00660CBB">
            <w:pPr>
              <w:pStyle w:val="NormalWeb"/>
              <w:shd w:val="clear" w:color="auto" w:fill="FFFFFF"/>
              <w:jc w:val="both"/>
              <w:rPr>
                <w:rFonts w:asciiTheme="minorHAnsi" w:hAnsiTheme="minorHAnsi" w:cstheme="minorHAnsi"/>
                <w:sz w:val="22"/>
                <w:szCs w:val="22"/>
              </w:rPr>
            </w:pPr>
            <w:r w:rsidRPr="00660CBB">
              <w:rPr>
                <w:rFonts w:asciiTheme="minorHAnsi" w:hAnsiTheme="minorHAnsi" w:cstheme="minorHAnsi"/>
                <w:sz w:val="22"/>
                <w:szCs w:val="22"/>
              </w:rPr>
              <w:t>El caso de la italiana tiene lugar la misma semana en que seis ciudadanos extranjeros, entre ellos uno chileno, fueron detenidos y expulsados de Perú por haber dañado el Santuario Histórico de Machu Picchu, situado en la región peruana de Cusco.</w:t>
            </w:r>
          </w:p>
          <w:p w:rsidR="00660CBB" w:rsidRPr="00660CBB" w:rsidRDefault="00660CBB" w:rsidP="00660CBB">
            <w:pPr>
              <w:pStyle w:val="NormalWeb"/>
              <w:shd w:val="clear" w:color="auto" w:fill="FFFFFF"/>
              <w:jc w:val="both"/>
              <w:rPr>
                <w:rFonts w:asciiTheme="minorHAnsi" w:hAnsiTheme="minorHAnsi" w:cstheme="minorHAnsi"/>
                <w:sz w:val="22"/>
                <w:szCs w:val="22"/>
              </w:rPr>
            </w:pPr>
            <w:r w:rsidRPr="00660CBB">
              <w:rPr>
                <w:rFonts w:asciiTheme="minorHAnsi" w:hAnsiTheme="minorHAnsi" w:cstheme="minorHAnsi"/>
                <w:sz w:val="22"/>
                <w:szCs w:val="22"/>
              </w:rPr>
              <w:t>Según las autoridades de ese país, a los detenidos se les atribuye haber provocado la caída de una piedra de uno de los muros de la ciudadela, levantada en lo alto de una montaña.</w:t>
            </w:r>
          </w:p>
          <w:p w:rsidR="00660CBB" w:rsidRPr="00660CBB" w:rsidRDefault="00660CBB" w:rsidP="00660CBB">
            <w:pPr>
              <w:pStyle w:val="NormalWeb"/>
              <w:shd w:val="clear" w:color="auto" w:fill="FFFFFF"/>
              <w:jc w:val="both"/>
              <w:rPr>
                <w:rFonts w:ascii="poynter-oldstyle-text,serif" w:hAnsi="poynter-oldstyle-text,serif"/>
                <w:color w:val="444444"/>
                <w:sz w:val="20"/>
                <w:szCs w:val="26"/>
              </w:rPr>
            </w:pPr>
            <w:r w:rsidRPr="00660CBB">
              <w:rPr>
                <w:rFonts w:asciiTheme="minorHAnsi" w:hAnsiTheme="minorHAnsi" w:cstheme="minorHAnsi"/>
                <w:sz w:val="22"/>
                <w:szCs w:val="22"/>
              </w:rPr>
              <w:t>Asimismo, en la zona, la policía encontró restos fecales, por lo que presume que alguno de los detenidos hizo sus necesidades biológicas en esa área.</w:t>
            </w:r>
            <w:r>
              <w:rPr>
                <w:rFonts w:ascii="poynter-oldstyle-text,serif" w:hAnsi="poynter-oldstyle-text,serif"/>
                <w:color w:val="444444"/>
                <w:sz w:val="26"/>
                <w:szCs w:val="26"/>
              </w:rPr>
              <w:t> </w:t>
            </w:r>
          </w:p>
          <w:p w:rsidR="00660CBB" w:rsidRPr="00660CBB" w:rsidRDefault="00660CBB" w:rsidP="00660CBB">
            <w:pPr>
              <w:pStyle w:val="NormalWeb"/>
              <w:shd w:val="clear" w:color="auto" w:fill="FFFFFF"/>
              <w:jc w:val="both"/>
              <w:rPr>
                <w:rFonts w:ascii="poynter-oldstyle-text,serif" w:hAnsi="poynter-oldstyle-text,serif"/>
                <w:color w:val="444444"/>
                <w:sz w:val="8"/>
                <w:szCs w:val="26"/>
              </w:rPr>
            </w:pPr>
          </w:p>
        </w:tc>
      </w:tr>
    </w:tbl>
    <w:p w:rsidR="00660CBB" w:rsidRPr="00660CBB" w:rsidRDefault="00660CBB" w:rsidP="00660CBB">
      <w:pPr>
        <w:jc w:val="both"/>
      </w:pPr>
    </w:p>
    <w:sectPr w:rsidR="00660CBB" w:rsidRPr="00660CBB" w:rsidSect="00BA282D">
      <w:headerReference w:type="default" r:id="rId9"/>
      <w:pgSz w:w="12242" w:h="18711"/>
      <w:pgMar w:top="1418" w:right="1701" w:bottom="851" w:left="1701" w:header="568"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ergio baeza iturrieta" w:date="2019-12-12T15:28:00Z" w:initials="sbi">
    <w:p w:rsidR="00A71209" w:rsidRDefault="00A71209">
      <w:pPr>
        <w:pStyle w:val="Textocomentario"/>
      </w:pPr>
      <w:r>
        <w:rPr>
          <w:rStyle w:val="Refdecomentario"/>
        </w:rPr>
        <w:annotationRef/>
      </w:r>
      <w:r w:rsidRPr="00A81BF2">
        <w:t>OA 7 Comprender la relevancia de las obras del Romanticismo, considerando sus características y el contexto en el que se enmarcan</w:t>
      </w:r>
    </w:p>
    <w:p w:rsidR="00A71209" w:rsidRDefault="00A71209">
      <w:pPr>
        <w:pStyle w:val="Textocomentario"/>
      </w:pPr>
    </w:p>
    <w:p w:rsidR="00A71209" w:rsidRDefault="00A71209">
      <w:pPr>
        <w:pStyle w:val="Textocomentario"/>
      </w:pPr>
      <w:r>
        <w:t xml:space="preserve">IE: </w:t>
      </w:r>
      <w:r w:rsidRPr="00A81BF2">
        <w:t>Interpretan obras del Romanticismo considerando sus tópicos, características, y contexto de producción y recepción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53E34" w15:done="0"/>
  <w15:commentEx w15:paraId="0A6E2E2B" w15:done="0"/>
  <w15:commentEx w15:paraId="04AFDD60" w15:done="0"/>
  <w15:commentEx w15:paraId="381F8B7D" w15:done="0"/>
  <w15:commentEx w15:paraId="1DB13FD2" w15:done="0"/>
  <w15:commentEx w15:paraId="0FEFF961" w15:done="0"/>
  <w15:commentEx w15:paraId="6D3394F6" w15:done="0"/>
  <w15:commentEx w15:paraId="195A47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53E34" w16cid:durableId="219CDB24"/>
  <w16cid:commentId w16cid:paraId="0A6E2E2B" w16cid:durableId="20672F9B"/>
  <w16cid:commentId w16cid:paraId="04AFDD60" w16cid:durableId="219CDD59"/>
  <w16cid:commentId w16cid:paraId="381F8B7D" w16cid:durableId="219CDDED"/>
  <w16cid:commentId w16cid:paraId="1DB13FD2" w16cid:durableId="219CDE15"/>
  <w16cid:commentId w16cid:paraId="0FEFF961" w16cid:durableId="219CDE80"/>
  <w16cid:commentId w16cid:paraId="6D3394F6" w16cid:durableId="219CE2F8"/>
  <w16cid:commentId w16cid:paraId="195A47DD" w16cid:durableId="2068C53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C84" w:rsidRDefault="00A83C84" w:rsidP="00C400B6">
      <w:pPr>
        <w:spacing w:after="0" w:line="240" w:lineRule="auto"/>
      </w:pPr>
      <w:r>
        <w:separator/>
      </w:r>
    </w:p>
  </w:endnote>
  <w:endnote w:type="continuationSeparator" w:id="0">
    <w:p w:rsidR="00A83C84" w:rsidRDefault="00A83C84" w:rsidP="00C40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oynter-oldstyle-text,serif">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C84" w:rsidRDefault="00A83C84" w:rsidP="00C400B6">
      <w:pPr>
        <w:spacing w:after="0" w:line="240" w:lineRule="auto"/>
      </w:pPr>
      <w:r>
        <w:separator/>
      </w:r>
    </w:p>
  </w:footnote>
  <w:footnote w:type="continuationSeparator" w:id="0">
    <w:p w:rsidR="00A83C84" w:rsidRDefault="00A83C84" w:rsidP="00C40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09" w:rsidRDefault="00A71209" w:rsidP="00BA282D">
    <w:pPr>
      <w:pStyle w:val="Encabezado"/>
      <w:jc w:val="center"/>
      <w:rPr>
        <w:b/>
        <w:sz w:val="20"/>
        <w:szCs w:val="20"/>
      </w:rPr>
    </w:pPr>
    <w:r w:rsidRPr="00BA282D">
      <w:rPr>
        <w:b/>
        <w:noProof/>
        <w:sz w:val="20"/>
        <w:szCs w:val="20"/>
      </w:rPr>
      <w:drawing>
        <wp:anchor distT="0" distB="0" distL="114300" distR="114300" simplePos="0" relativeHeight="251659264" behindDoc="1" locked="0" layoutInCell="1" allowOverlap="1">
          <wp:simplePos x="0" y="0"/>
          <wp:positionH relativeFrom="margin">
            <wp:posOffset>-842010</wp:posOffset>
          </wp:positionH>
          <wp:positionV relativeFrom="paragraph">
            <wp:posOffset>-193040</wp:posOffset>
          </wp:positionV>
          <wp:extent cx="1476375" cy="581025"/>
          <wp:effectExtent l="19050" t="0" r="9525" b="0"/>
          <wp:wrapTight wrapText="bothSides">
            <wp:wrapPolygon edited="0">
              <wp:start x="2508" y="0"/>
              <wp:lineTo x="0" y="1416"/>
              <wp:lineTo x="-279" y="11331"/>
              <wp:lineTo x="2230" y="21246"/>
              <wp:lineTo x="2508" y="21246"/>
              <wp:lineTo x="4738" y="21246"/>
              <wp:lineTo x="16444" y="21246"/>
              <wp:lineTo x="21461" y="18413"/>
              <wp:lineTo x="21739" y="3541"/>
              <wp:lineTo x="19231" y="2125"/>
              <wp:lineTo x="4738" y="0"/>
              <wp:lineTo x="2508"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Q Escudo + Texto - 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76375" cy="581025"/>
                  </a:xfrm>
                  <a:prstGeom prst="rect">
                    <a:avLst/>
                  </a:prstGeom>
                </pic:spPr>
              </pic:pic>
            </a:graphicData>
          </a:graphic>
        </wp:anchor>
      </w:drawing>
    </w:r>
    <w:r w:rsidRPr="00BA282D">
      <w:rPr>
        <w:b/>
        <w:noProof/>
        <w:sz w:val="20"/>
        <w:szCs w:val="20"/>
      </w:rPr>
      <w:drawing>
        <wp:anchor distT="0" distB="0" distL="114300" distR="114300" simplePos="0" relativeHeight="251660288" behindDoc="1" locked="0" layoutInCell="1" allowOverlap="1">
          <wp:simplePos x="0" y="0"/>
          <wp:positionH relativeFrom="column">
            <wp:posOffset>4245610</wp:posOffset>
          </wp:positionH>
          <wp:positionV relativeFrom="paragraph">
            <wp:posOffset>-193040</wp:posOffset>
          </wp:positionV>
          <wp:extent cx="2295525" cy="523875"/>
          <wp:effectExtent l="19050" t="0" r="0" b="0"/>
          <wp:wrapTight wrapText="bothSides">
            <wp:wrapPolygon edited="0">
              <wp:start x="-179" y="0"/>
              <wp:lineTo x="-179" y="7069"/>
              <wp:lineTo x="1076" y="12567"/>
              <wp:lineTo x="2689" y="14138"/>
              <wp:lineTo x="5378" y="21207"/>
              <wp:lineTo x="5915" y="21207"/>
              <wp:lineTo x="9859" y="21207"/>
              <wp:lineTo x="21152" y="21207"/>
              <wp:lineTo x="21510" y="16495"/>
              <wp:lineTo x="18642" y="12567"/>
              <wp:lineTo x="18822" y="6284"/>
              <wp:lineTo x="12368" y="785"/>
              <wp:lineTo x="3585" y="0"/>
              <wp:lineTo x="-179"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I CCQ 2.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95525" cy="523875"/>
                  </a:xfrm>
                  <a:prstGeom prst="rect">
                    <a:avLst/>
                  </a:prstGeom>
                </pic:spPr>
              </pic:pic>
            </a:graphicData>
          </a:graphic>
        </wp:anchor>
      </w:drawing>
    </w:r>
    <w:r>
      <w:rPr>
        <w:b/>
        <w:sz w:val="20"/>
        <w:szCs w:val="20"/>
      </w:rPr>
      <w:t>Lenguaje</w:t>
    </w:r>
  </w:p>
  <w:p w:rsidR="00A71209" w:rsidRPr="00BA282D" w:rsidRDefault="00A71209" w:rsidP="00BA282D">
    <w:pPr>
      <w:pStyle w:val="Encabezado"/>
      <w:jc w:val="center"/>
      <w:rPr>
        <w:b/>
        <w:sz w:val="20"/>
        <w:szCs w:val="20"/>
      </w:rPr>
    </w:pPr>
    <w:r>
      <w:rPr>
        <w:b/>
        <w:sz w:val="20"/>
        <w:szCs w:val="20"/>
      </w:rPr>
      <w:t>Profesor Francisco Barría Encalada</w:t>
    </w:r>
  </w:p>
  <w:p w:rsidR="00A71209" w:rsidRDefault="00A7120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2A"/>
    <w:multiLevelType w:val="hybridMultilevel"/>
    <w:tmpl w:val="494A0BA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821A2C"/>
    <w:multiLevelType w:val="hybridMultilevel"/>
    <w:tmpl w:val="5EC29CA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691B50"/>
    <w:multiLevelType w:val="hybridMultilevel"/>
    <w:tmpl w:val="F1340C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B81092"/>
    <w:multiLevelType w:val="hybridMultilevel"/>
    <w:tmpl w:val="C536280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0ED10CA"/>
    <w:multiLevelType w:val="hybridMultilevel"/>
    <w:tmpl w:val="9754F3A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4701087"/>
    <w:multiLevelType w:val="hybridMultilevel"/>
    <w:tmpl w:val="73C4C0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AF119DF"/>
    <w:multiLevelType w:val="hybridMultilevel"/>
    <w:tmpl w:val="768C3AC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C54451C"/>
    <w:multiLevelType w:val="hybridMultilevel"/>
    <w:tmpl w:val="2EE43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6034E1"/>
    <w:multiLevelType w:val="hybridMultilevel"/>
    <w:tmpl w:val="A85C488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42B22ED"/>
    <w:multiLevelType w:val="hybridMultilevel"/>
    <w:tmpl w:val="0204B44E"/>
    <w:lvl w:ilvl="0" w:tplc="0D3AC62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A56043"/>
    <w:multiLevelType w:val="hybridMultilevel"/>
    <w:tmpl w:val="5FD4B91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5AF2AAE"/>
    <w:multiLevelType w:val="hybridMultilevel"/>
    <w:tmpl w:val="08EA5C5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9B64837"/>
    <w:multiLevelType w:val="hybridMultilevel"/>
    <w:tmpl w:val="4E5214D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9C4668B"/>
    <w:multiLevelType w:val="hybridMultilevel"/>
    <w:tmpl w:val="6F22C8F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C030853"/>
    <w:multiLevelType w:val="hybridMultilevel"/>
    <w:tmpl w:val="2D6E23C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C3623EC"/>
    <w:multiLevelType w:val="hybridMultilevel"/>
    <w:tmpl w:val="9446B97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D7A31B6"/>
    <w:multiLevelType w:val="hybridMultilevel"/>
    <w:tmpl w:val="909C1F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3FF67017"/>
    <w:multiLevelType w:val="hybridMultilevel"/>
    <w:tmpl w:val="C63A3AC0"/>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nsid w:val="444C4EC4"/>
    <w:multiLevelType w:val="hybridMultilevel"/>
    <w:tmpl w:val="DAC2BEF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A432D8"/>
    <w:multiLevelType w:val="hybridMultilevel"/>
    <w:tmpl w:val="8D26815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DA27FF1"/>
    <w:multiLevelType w:val="hybridMultilevel"/>
    <w:tmpl w:val="2C843A3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92C3092"/>
    <w:multiLevelType w:val="hybridMultilevel"/>
    <w:tmpl w:val="FBC42F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DF720A7"/>
    <w:multiLevelType w:val="hybridMultilevel"/>
    <w:tmpl w:val="B8ECE9F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3736FB2"/>
    <w:multiLevelType w:val="hybridMultilevel"/>
    <w:tmpl w:val="A260C23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520493C"/>
    <w:multiLevelType w:val="hybridMultilevel"/>
    <w:tmpl w:val="2962FB9E"/>
    <w:lvl w:ilvl="0" w:tplc="3350EE2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89F7A62"/>
    <w:multiLevelType w:val="hybridMultilevel"/>
    <w:tmpl w:val="CCC41CF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0721851"/>
    <w:multiLevelType w:val="hybridMultilevel"/>
    <w:tmpl w:val="FF60BBE8"/>
    <w:lvl w:ilvl="0" w:tplc="340A0015">
      <w:start w:val="1"/>
      <w:numFmt w:val="upp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7CB3433F"/>
    <w:multiLevelType w:val="hybridMultilevel"/>
    <w:tmpl w:val="0C6CE09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2"/>
  </w:num>
  <w:num w:numId="2">
    <w:abstractNumId w:val="4"/>
  </w:num>
  <w:num w:numId="3">
    <w:abstractNumId w:val="0"/>
  </w:num>
  <w:num w:numId="4">
    <w:abstractNumId w:val="25"/>
  </w:num>
  <w:num w:numId="5">
    <w:abstractNumId w:val="20"/>
  </w:num>
  <w:num w:numId="6">
    <w:abstractNumId w:val="15"/>
  </w:num>
  <w:num w:numId="7">
    <w:abstractNumId w:val="13"/>
  </w:num>
  <w:num w:numId="8">
    <w:abstractNumId w:val="11"/>
  </w:num>
  <w:num w:numId="9">
    <w:abstractNumId w:val="5"/>
  </w:num>
  <w:num w:numId="10">
    <w:abstractNumId w:val="17"/>
  </w:num>
  <w:num w:numId="11">
    <w:abstractNumId w:val="8"/>
  </w:num>
  <w:num w:numId="12">
    <w:abstractNumId w:val="27"/>
  </w:num>
  <w:num w:numId="13">
    <w:abstractNumId w:val="26"/>
  </w:num>
  <w:num w:numId="14">
    <w:abstractNumId w:val="23"/>
  </w:num>
  <w:num w:numId="15">
    <w:abstractNumId w:val="3"/>
  </w:num>
  <w:num w:numId="16">
    <w:abstractNumId w:val="6"/>
  </w:num>
  <w:num w:numId="17">
    <w:abstractNumId w:val="14"/>
  </w:num>
  <w:num w:numId="18">
    <w:abstractNumId w:val="19"/>
  </w:num>
  <w:num w:numId="19">
    <w:abstractNumId w:val="12"/>
  </w:num>
  <w:num w:numId="20">
    <w:abstractNumId w:val="16"/>
  </w:num>
  <w:num w:numId="21">
    <w:abstractNumId w:val="10"/>
  </w:num>
  <w:num w:numId="22">
    <w:abstractNumId w:val="1"/>
  </w:num>
  <w:num w:numId="23">
    <w:abstractNumId w:val="18"/>
  </w:num>
  <w:num w:numId="24">
    <w:abstractNumId w:val="21"/>
  </w:num>
  <w:num w:numId="25">
    <w:abstractNumId w:val="9"/>
  </w:num>
  <w:num w:numId="26">
    <w:abstractNumId w:val="24"/>
  </w:num>
  <w:num w:numId="27">
    <w:abstractNumId w:val="7"/>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io baeza iturrieta">
    <w15:presenceInfo w15:providerId="Windows Live" w15:userId="91c5ee0d3b142ab6"/>
  </w15:person>
  <w15:person w15:author="sergio baeza iturrieta [2]">
    <w15:presenceInfo w15:providerId="Windows Live" w15:userId="9af763ba856d70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400B6"/>
    <w:rsid w:val="00056297"/>
    <w:rsid w:val="0008438A"/>
    <w:rsid w:val="000B19FF"/>
    <w:rsid w:val="000B7050"/>
    <w:rsid w:val="000C1FA5"/>
    <w:rsid w:val="000C4784"/>
    <w:rsid w:val="000E39D7"/>
    <w:rsid w:val="00125687"/>
    <w:rsid w:val="001917CC"/>
    <w:rsid w:val="001A12EB"/>
    <w:rsid w:val="001E152C"/>
    <w:rsid w:val="001E7744"/>
    <w:rsid w:val="001F42B1"/>
    <w:rsid w:val="002471A8"/>
    <w:rsid w:val="00252DC9"/>
    <w:rsid w:val="002967FB"/>
    <w:rsid w:val="002B6558"/>
    <w:rsid w:val="002B762A"/>
    <w:rsid w:val="00336EF5"/>
    <w:rsid w:val="00340E27"/>
    <w:rsid w:val="00351571"/>
    <w:rsid w:val="0038504F"/>
    <w:rsid w:val="0038720B"/>
    <w:rsid w:val="004146DB"/>
    <w:rsid w:val="0044138A"/>
    <w:rsid w:val="00447308"/>
    <w:rsid w:val="00466D90"/>
    <w:rsid w:val="0047161C"/>
    <w:rsid w:val="00492505"/>
    <w:rsid w:val="004A2172"/>
    <w:rsid w:val="004A4B23"/>
    <w:rsid w:val="004B20A4"/>
    <w:rsid w:val="004C033D"/>
    <w:rsid w:val="00515CEE"/>
    <w:rsid w:val="00582DA5"/>
    <w:rsid w:val="00584D36"/>
    <w:rsid w:val="005A747E"/>
    <w:rsid w:val="005B4123"/>
    <w:rsid w:val="00632601"/>
    <w:rsid w:val="006565FF"/>
    <w:rsid w:val="00660CBB"/>
    <w:rsid w:val="00677EB0"/>
    <w:rsid w:val="006C7F29"/>
    <w:rsid w:val="007137C9"/>
    <w:rsid w:val="00714DC6"/>
    <w:rsid w:val="007336C0"/>
    <w:rsid w:val="00741C52"/>
    <w:rsid w:val="007D0B5E"/>
    <w:rsid w:val="007E694D"/>
    <w:rsid w:val="008A2661"/>
    <w:rsid w:val="008C2D72"/>
    <w:rsid w:val="009D039A"/>
    <w:rsid w:val="009E4F20"/>
    <w:rsid w:val="009F4292"/>
    <w:rsid w:val="00A022C5"/>
    <w:rsid w:val="00A07AFF"/>
    <w:rsid w:val="00A57B1D"/>
    <w:rsid w:val="00A71209"/>
    <w:rsid w:val="00A81BF2"/>
    <w:rsid w:val="00A83C84"/>
    <w:rsid w:val="00A96DB0"/>
    <w:rsid w:val="00B16CAC"/>
    <w:rsid w:val="00B33DB4"/>
    <w:rsid w:val="00B37E28"/>
    <w:rsid w:val="00B64EBE"/>
    <w:rsid w:val="00BA282D"/>
    <w:rsid w:val="00C400B6"/>
    <w:rsid w:val="00C57321"/>
    <w:rsid w:val="00CA2FD6"/>
    <w:rsid w:val="00D1123D"/>
    <w:rsid w:val="00D41248"/>
    <w:rsid w:val="00D544A7"/>
    <w:rsid w:val="00D71C5E"/>
    <w:rsid w:val="00D964AF"/>
    <w:rsid w:val="00DA475E"/>
    <w:rsid w:val="00DF3E7C"/>
    <w:rsid w:val="00E46542"/>
    <w:rsid w:val="00E64281"/>
    <w:rsid w:val="00E649D9"/>
    <w:rsid w:val="00E83F8D"/>
    <w:rsid w:val="00E902AF"/>
    <w:rsid w:val="00E9332D"/>
    <w:rsid w:val="00EA4053"/>
    <w:rsid w:val="00F23DB1"/>
    <w:rsid w:val="00F2400F"/>
    <w:rsid w:val="00F55EE4"/>
    <w:rsid w:val="00F96087"/>
    <w:rsid w:val="00FD55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00B6"/>
    <w:pPr>
      <w:tabs>
        <w:tab w:val="center" w:pos="4252"/>
        <w:tab w:val="right" w:pos="8504"/>
      </w:tabs>
      <w:spacing w:after="0" w:line="240" w:lineRule="auto"/>
    </w:pPr>
    <w:rPr>
      <w:rFonts w:eastAsiaTheme="minorEastAsia"/>
      <w:lang w:val="es-ES" w:eastAsia="es-ES"/>
    </w:rPr>
  </w:style>
  <w:style w:type="character" w:customStyle="1" w:styleId="EncabezadoCar">
    <w:name w:val="Encabezado Car"/>
    <w:basedOn w:val="Fuentedeprrafopredeter"/>
    <w:link w:val="Encabezado"/>
    <w:uiPriority w:val="99"/>
    <w:rsid w:val="00C400B6"/>
    <w:rPr>
      <w:rFonts w:eastAsiaTheme="minorEastAsia"/>
      <w:lang w:val="es-ES" w:eastAsia="es-ES"/>
    </w:rPr>
  </w:style>
  <w:style w:type="paragraph" w:styleId="Piedepgina">
    <w:name w:val="footer"/>
    <w:basedOn w:val="Normal"/>
    <w:link w:val="PiedepginaCar"/>
    <w:uiPriority w:val="99"/>
    <w:unhideWhenUsed/>
    <w:rsid w:val="00C400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0B6"/>
  </w:style>
  <w:style w:type="table" w:styleId="Tablaconcuadrcula">
    <w:name w:val="Table Grid"/>
    <w:basedOn w:val="Tablanormal"/>
    <w:uiPriority w:val="39"/>
    <w:rsid w:val="00C40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1FA5"/>
    <w:pPr>
      <w:ind w:left="720"/>
      <w:contextualSpacing/>
    </w:pPr>
  </w:style>
  <w:style w:type="character" w:styleId="Refdecomentario">
    <w:name w:val="annotation reference"/>
    <w:basedOn w:val="Fuentedeprrafopredeter"/>
    <w:uiPriority w:val="99"/>
    <w:semiHidden/>
    <w:unhideWhenUsed/>
    <w:rsid w:val="00B64EBE"/>
    <w:rPr>
      <w:sz w:val="16"/>
      <w:szCs w:val="16"/>
    </w:rPr>
  </w:style>
  <w:style w:type="paragraph" w:styleId="Textocomentario">
    <w:name w:val="annotation text"/>
    <w:basedOn w:val="Normal"/>
    <w:link w:val="TextocomentarioCar"/>
    <w:uiPriority w:val="99"/>
    <w:unhideWhenUsed/>
    <w:rsid w:val="00B64EBE"/>
    <w:pPr>
      <w:spacing w:line="240" w:lineRule="auto"/>
    </w:pPr>
    <w:rPr>
      <w:sz w:val="20"/>
      <w:szCs w:val="20"/>
    </w:rPr>
  </w:style>
  <w:style w:type="character" w:customStyle="1" w:styleId="TextocomentarioCar">
    <w:name w:val="Texto comentario Car"/>
    <w:basedOn w:val="Fuentedeprrafopredeter"/>
    <w:link w:val="Textocomentario"/>
    <w:uiPriority w:val="99"/>
    <w:rsid w:val="00B64EBE"/>
    <w:rPr>
      <w:sz w:val="20"/>
      <w:szCs w:val="20"/>
    </w:rPr>
  </w:style>
  <w:style w:type="paragraph" w:styleId="Asuntodelcomentario">
    <w:name w:val="annotation subject"/>
    <w:basedOn w:val="Textocomentario"/>
    <w:next w:val="Textocomentario"/>
    <w:link w:val="AsuntodelcomentarioCar"/>
    <w:uiPriority w:val="99"/>
    <w:semiHidden/>
    <w:unhideWhenUsed/>
    <w:rsid w:val="00B64EBE"/>
    <w:rPr>
      <w:b/>
      <w:bCs/>
    </w:rPr>
  </w:style>
  <w:style w:type="character" w:customStyle="1" w:styleId="AsuntodelcomentarioCar">
    <w:name w:val="Asunto del comentario Car"/>
    <w:basedOn w:val="TextocomentarioCar"/>
    <w:link w:val="Asuntodelcomentario"/>
    <w:uiPriority w:val="99"/>
    <w:semiHidden/>
    <w:rsid w:val="00B64EBE"/>
    <w:rPr>
      <w:b/>
      <w:bCs/>
      <w:sz w:val="20"/>
      <w:szCs w:val="20"/>
    </w:rPr>
  </w:style>
  <w:style w:type="paragraph" w:styleId="Textodeglobo">
    <w:name w:val="Balloon Text"/>
    <w:basedOn w:val="Normal"/>
    <w:link w:val="TextodegloboCar"/>
    <w:uiPriority w:val="99"/>
    <w:semiHidden/>
    <w:unhideWhenUsed/>
    <w:rsid w:val="00B64E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EBE"/>
    <w:rPr>
      <w:rFonts w:ascii="Segoe UI" w:hAnsi="Segoe UI" w:cs="Segoe UI"/>
      <w:sz w:val="18"/>
      <w:szCs w:val="18"/>
    </w:rPr>
  </w:style>
  <w:style w:type="paragraph" w:styleId="Sinespaciado">
    <w:name w:val="No Spacing"/>
    <w:uiPriority w:val="1"/>
    <w:qFormat/>
    <w:rsid w:val="00741C52"/>
    <w:pPr>
      <w:spacing w:after="0" w:line="240" w:lineRule="auto"/>
    </w:pPr>
    <w:rPr>
      <w:rFonts w:eastAsiaTheme="minorEastAsia"/>
    </w:rPr>
  </w:style>
  <w:style w:type="character" w:styleId="Hipervnculo">
    <w:name w:val="Hyperlink"/>
    <w:basedOn w:val="Fuentedeprrafopredeter"/>
    <w:uiPriority w:val="99"/>
    <w:semiHidden/>
    <w:unhideWhenUsed/>
    <w:rsid w:val="00125687"/>
    <w:rPr>
      <w:color w:val="0000FF"/>
      <w:u w:val="single"/>
    </w:rPr>
  </w:style>
  <w:style w:type="paragraph" w:styleId="NormalWeb">
    <w:name w:val="Normal (Web)"/>
    <w:basedOn w:val="Normal"/>
    <w:uiPriority w:val="99"/>
    <w:unhideWhenUsed/>
    <w:rsid w:val="00660CB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477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9658-CC87-4231-B73C-0EB70E61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baeza iturrieta</dc:creator>
  <cp:lastModifiedBy>Trabajo Colegio</cp:lastModifiedBy>
  <cp:revision>7</cp:revision>
  <dcterms:created xsi:type="dcterms:W3CDTF">2020-03-16T14:32:00Z</dcterms:created>
  <dcterms:modified xsi:type="dcterms:W3CDTF">2020-03-30T00:01:00Z</dcterms:modified>
</cp:coreProperties>
</file>